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75293" w14:textId="14597BCE" w:rsidR="00E769DB" w:rsidRPr="000A64D8" w:rsidRDefault="00E769DB" w:rsidP="00E769DB">
      <w:pPr>
        <w:tabs>
          <w:tab w:val="right" w:pos="10000"/>
        </w:tabs>
        <w:spacing w:after="0"/>
        <w:rPr>
          <w:rFonts w:ascii="Arial" w:hAnsi="Arial" w:cs="Arial"/>
          <w:b/>
          <w:sz w:val="24"/>
          <w:szCs w:val="24"/>
        </w:rPr>
      </w:pPr>
      <w:bookmarkStart w:id="0" w:name="Source"/>
      <w:bookmarkEnd w:id="0"/>
      <w:r w:rsidRPr="000A64D8">
        <w:rPr>
          <w:rFonts w:ascii="Arial" w:hAnsi="Arial" w:cs="Arial"/>
          <w:b/>
          <w:sz w:val="24"/>
          <w:szCs w:val="24"/>
        </w:rPr>
        <w:t xml:space="preserve">3GPP TSG-RAN WG1 </w:t>
      </w:r>
      <w:r w:rsidR="00E22B1E">
        <w:rPr>
          <w:rFonts w:ascii="Arial" w:hAnsi="Arial" w:cs="Arial"/>
          <w:b/>
          <w:noProof/>
          <w:sz w:val="24"/>
          <w:szCs w:val="24"/>
        </w:rPr>
        <w:t>#88</w:t>
      </w:r>
      <w:r w:rsidR="00C81A41">
        <w:rPr>
          <w:rFonts w:ascii="Arial" w:hAnsi="Arial" w:cs="Arial"/>
          <w:b/>
          <w:noProof/>
          <w:sz w:val="24"/>
          <w:szCs w:val="24"/>
        </w:rPr>
        <w:t>b</w:t>
      </w:r>
      <w:r w:rsidRPr="000A64D8">
        <w:rPr>
          <w:rFonts w:ascii="Arial" w:hAnsi="Arial" w:cs="Arial"/>
          <w:b/>
          <w:sz w:val="24"/>
          <w:szCs w:val="24"/>
        </w:rPr>
        <w:tab/>
      </w:r>
      <w:r w:rsidR="00C81A41" w:rsidRPr="00C81A41">
        <w:rPr>
          <w:rFonts w:ascii="Arial" w:hAnsi="Arial" w:cs="Arial"/>
          <w:b/>
          <w:bCs/>
          <w:sz w:val="24"/>
          <w:szCs w:val="24"/>
        </w:rPr>
        <w:t>R1-1705621</w:t>
      </w:r>
    </w:p>
    <w:p w14:paraId="55B794FD" w14:textId="4B4B58CA" w:rsidR="00E769DB" w:rsidRPr="00FD021C" w:rsidRDefault="004B41B7" w:rsidP="00E769DB">
      <w:pPr>
        <w:tabs>
          <w:tab w:val="right" w:pos="9630"/>
        </w:tabs>
        <w:spacing w:after="0"/>
        <w:rPr>
          <w:rFonts w:ascii="Arial" w:hAnsi="Arial" w:cs="Arial"/>
          <w:b/>
          <w:sz w:val="24"/>
          <w:szCs w:val="24"/>
        </w:rPr>
      </w:pPr>
      <w:r>
        <w:rPr>
          <w:rFonts w:ascii="Arial" w:hAnsi="Arial" w:cs="Arial"/>
          <w:b/>
          <w:sz w:val="24"/>
          <w:szCs w:val="24"/>
        </w:rPr>
        <w:t>3</w:t>
      </w:r>
      <w:r w:rsidR="00E769DB" w:rsidRPr="00EE6950">
        <w:rPr>
          <w:rFonts w:ascii="Arial" w:hAnsi="Arial" w:cs="Arial"/>
          <w:b/>
          <w:sz w:val="24"/>
          <w:szCs w:val="24"/>
          <w:vertAlign w:val="superscript"/>
        </w:rPr>
        <w:t>th</w:t>
      </w:r>
      <w:r w:rsidR="00C81A41">
        <w:rPr>
          <w:rFonts w:ascii="Arial" w:hAnsi="Arial" w:cs="Arial"/>
          <w:b/>
          <w:sz w:val="24"/>
          <w:szCs w:val="24"/>
        </w:rPr>
        <w:t xml:space="preserve"> – </w:t>
      </w:r>
      <w:r>
        <w:rPr>
          <w:rFonts w:ascii="Arial" w:hAnsi="Arial" w:cs="Arial"/>
          <w:b/>
          <w:sz w:val="24"/>
          <w:szCs w:val="24"/>
        </w:rPr>
        <w:t>7</w:t>
      </w:r>
      <w:r w:rsidR="00E769DB" w:rsidRPr="00EE6950">
        <w:rPr>
          <w:rFonts w:ascii="Arial" w:hAnsi="Arial" w:cs="Arial"/>
          <w:b/>
          <w:sz w:val="24"/>
          <w:szCs w:val="24"/>
          <w:vertAlign w:val="superscript"/>
        </w:rPr>
        <w:t>th</w:t>
      </w:r>
      <w:r w:rsidR="00E769DB">
        <w:rPr>
          <w:rFonts w:ascii="Arial" w:hAnsi="Arial" w:cs="Arial"/>
          <w:b/>
          <w:sz w:val="24"/>
          <w:szCs w:val="24"/>
        </w:rPr>
        <w:t xml:space="preserve">, </w:t>
      </w:r>
      <w:r w:rsidR="00C81A41">
        <w:rPr>
          <w:rFonts w:ascii="Arial" w:hAnsi="Arial" w:cs="Arial"/>
          <w:b/>
          <w:sz w:val="24"/>
          <w:szCs w:val="24"/>
        </w:rPr>
        <w:t>April</w:t>
      </w:r>
      <w:r w:rsidR="00E22B1E">
        <w:rPr>
          <w:rFonts w:ascii="Arial" w:hAnsi="Arial" w:cs="Arial"/>
          <w:b/>
          <w:sz w:val="24"/>
          <w:szCs w:val="24"/>
        </w:rPr>
        <w:t xml:space="preserve"> </w:t>
      </w:r>
      <w:r w:rsidR="00E769DB">
        <w:rPr>
          <w:rFonts w:ascii="Arial" w:hAnsi="Arial" w:cs="Arial"/>
          <w:b/>
          <w:sz w:val="24"/>
          <w:szCs w:val="24"/>
        </w:rPr>
        <w:t>2017</w:t>
      </w:r>
    </w:p>
    <w:p w14:paraId="7EDB819A" w14:textId="737D468A" w:rsidR="00E769DB" w:rsidRPr="00FD021C" w:rsidRDefault="00C81A41" w:rsidP="00E769DB">
      <w:pPr>
        <w:spacing w:after="0"/>
        <w:rPr>
          <w:rFonts w:ascii="Arial" w:hAnsi="Arial" w:cs="Arial"/>
          <w:b/>
          <w:sz w:val="24"/>
          <w:szCs w:val="24"/>
        </w:rPr>
      </w:pPr>
      <w:r>
        <w:rPr>
          <w:rFonts w:ascii="Arial" w:hAnsi="Arial" w:cs="Arial"/>
          <w:b/>
          <w:sz w:val="24"/>
          <w:szCs w:val="24"/>
        </w:rPr>
        <w:t>Spokane</w:t>
      </w:r>
      <w:r w:rsidR="004B41B7">
        <w:rPr>
          <w:rFonts w:ascii="Arial" w:hAnsi="Arial" w:cs="Arial"/>
          <w:b/>
          <w:sz w:val="24"/>
          <w:szCs w:val="24"/>
        </w:rPr>
        <w:t xml:space="preserve">, </w:t>
      </w:r>
      <w:r>
        <w:rPr>
          <w:rFonts w:ascii="Arial" w:hAnsi="Arial" w:cs="Arial"/>
          <w:b/>
          <w:sz w:val="24"/>
          <w:szCs w:val="24"/>
        </w:rPr>
        <w:t>USA</w:t>
      </w:r>
      <w:bookmarkStart w:id="1" w:name="_GoBack"/>
      <w:bookmarkEnd w:id="1"/>
    </w:p>
    <w:p w14:paraId="4607ED07" w14:textId="77777777" w:rsidR="00E769DB" w:rsidRPr="000A64D8" w:rsidRDefault="00E769DB" w:rsidP="00E769DB">
      <w:pPr>
        <w:pStyle w:val="Footer"/>
        <w:jc w:val="left"/>
        <w:rPr>
          <w:noProof w:val="0"/>
        </w:rPr>
      </w:pPr>
    </w:p>
    <w:p w14:paraId="391CF797" w14:textId="4C0864EB"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4B41B7">
        <w:rPr>
          <w:rFonts w:ascii="Arial" w:hAnsi="Arial"/>
          <w:sz w:val="24"/>
        </w:rPr>
        <w:t>8.1.3</w:t>
      </w:r>
      <w:r w:rsidR="00735804">
        <w:rPr>
          <w:rFonts w:ascii="Arial" w:hAnsi="Arial"/>
          <w:sz w:val="24"/>
        </w:rPr>
        <w:t>.3</w:t>
      </w:r>
      <w:r w:rsidR="003A0E83">
        <w:rPr>
          <w:rFonts w:ascii="Arial" w:hAnsi="Arial"/>
          <w:sz w:val="24"/>
        </w:rPr>
        <w:t>.3</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5177381C"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B41B7">
        <w:rPr>
          <w:rFonts w:ascii="Arial" w:hAnsi="Arial"/>
          <w:sz w:val="24"/>
        </w:rPr>
        <w:t>Slot Aggregation</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bookmarkStart w:id="2" w:name="_Ref474158244"/>
      <w:r w:rsidRPr="00183CB7">
        <w:t>Introduction</w:t>
      </w:r>
      <w:bookmarkEnd w:id="2"/>
    </w:p>
    <w:p w14:paraId="15D12C77" w14:textId="2B51AD4F" w:rsidR="00E769DB" w:rsidRDefault="00E769DB" w:rsidP="00E769DB">
      <w:pPr>
        <w:rPr>
          <w:szCs w:val="22"/>
        </w:rPr>
      </w:pPr>
      <w:r>
        <w:rPr>
          <w:szCs w:val="22"/>
        </w:rPr>
        <w:t>In the last RAN1 #86bis</w:t>
      </w:r>
      <w:r w:rsidR="00735804">
        <w:rPr>
          <w:szCs w:val="22"/>
        </w:rPr>
        <w:t>, the following agreement was reached</w:t>
      </w:r>
      <w:r w:rsidR="00B024EE">
        <w:rPr>
          <w:szCs w:val="22"/>
        </w:rPr>
        <w:t xml:space="preserve"> </w:t>
      </w:r>
      <w:r w:rsidR="00B024EE">
        <w:rPr>
          <w:szCs w:val="22"/>
        </w:rPr>
        <w:fldChar w:fldCharType="begin"/>
      </w:r>
      <w:r w:rsidR="00B024EE">
        <w:rPr>
          <w:szCs w:val="22"/>
        </w:rPr>
        <w:instrText xml:space="preserve"> REF _Ref474158248 \w \h </w:instrText>
      </w:r>
      <w:r w:rsidR="00B024EE">
        <w:rPr>
          <w:szCs w:val="22"/>
        </w:rPr>
      </w:r>
      <w:r w:rsidR="00B024EE">
        <w:rPr>
          <w:szCs w:val="22"/>
        </w:rPr>
        <w:fldChar w:fldCharType="separate"/>
      </w:r>
      <w:r w:rsidR="00B024EE">
        <w:rPr>
          <w:szCs w:val="22"/>
        </w:rPr>
        <w:t>[1]</w:t>
      </w:r>
      <w:r w:rsidR="00B024EE">
        <w:rPr>
          <w:szCs w:val="22"/>
        </w:rPr>
        <w:fldChar w:fldCharType="end"/>
      </w:r>
      <w:r>
        <w:rPr>
          <w:szCs w:val="22"/>
        </w:rPr>
        <w:t>.</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61D06E0A" w14:textId="0AF99509" w:rsidR="008F0087" w:rsidRPr="00B14F6F" w:rsidRDefault="008F0087" w:rsidP="00B14F6F">
      <w:pPr>
        <w:pStyle w:val="ListParagraph"/>
        <w:numPr>
          <w:ilvl w:val="0"/>
          <w:numId w:val="29"/>
        </w:numPr>
        <w:rPr>
          <w:rFonts w:ascii="Times New Roman" w:eastAsia="MS Mincho" w:hAnsi="Times New Roman"/>
          <w:sz w:val="20"/>
          <w:szCs w:val="20"/>
          <w:lang w:eastAsia="ja-JP"/>
        </w:rPr>
      </w:pPr>
      <w:r w:rsidRPr="00B14F6F">
        <w:rPr>
          <w:rFonts w:ascii="Times New Roman" w:hAnsi="Times New Roman"/>
          <w:sz w:val="20"/>
          <w:szCs w:val="20"/>
        </w:rPr>
        <w:t>Slot aggregation is supported</w:t>
      </w:r>
    </w:p>
    <w:p w14:paraId="468A0DC2" w14:textId="298310C7" w:rsidR="00E769DB" w:rsidRPr="006F3A0A" w:rsidRDefault="008F0087" w:rsidP="008F0087">
      <w:pPr>
        <w:pStyle w:val="ListParagraph"/>
        <w:numPr>
          <w:ilvl w:val="0"/>
          <w:numId w:val="29"/>
        </w:numPr>
      </w:pPr>
      <w:r w:rsidRPr="00B14F6F">
        <w:rPr>
          <w:rFonts w:ascii="Times New Roman" w:eastAsia="MS Mincho" w:hAnsi="Times New Roman"/>
          <w:sz w:val="20"/>
          <w:szCs w:val="20"/>
          <w:lang w:eastAsia="ja-JP"/>
        </w:rPr>
        <w:t>Data transmission can be scheduled to span one or multiple slots</w:t>
      </w:r>
    </w:p>
    <w:p w14:paraId="6D4A41E1" w14:textId="77777777" w:rsidR="006F3A0A" w:rsidRPr="008F0087" w:rsidRDefault="006F3A0A" w:rsidP="006F3A0A"/>
    <w:p w14:paraId="14DE3ADC" w14:textId="21EC58C9" w:rsidR="008F0087" w:rsidRDefault="006F3A0A" w:rsidP="00E769DB">
      <w:pPr>
        <w:overflowPunct/>
        <w:autoSpaceDE/>
        <w:autoSpaceDN/>
        <w:adjustRightInd/>
        <w:spacing w:after="0"/>
        <w:textAlignment w:val="auto"/>
        <w:rPr>
          <w:szCs w:val="22"/>
        </w:rPr>
      </w:pPr>
      <w:r>
        <w:rPr>
          <w:szCs w:val="22"/>
        </w:rPr>
        <w:t>This contribution looks into various use cases that benefit from the use of slot aggregation in order to minimize overhead while still benefit</w:t>
      </w:r>
      <w:r w:rsidR="009C4358">
        <w:rPr>
          <w:szCs w:val="22"/>
        </w:rPr>
        <w:t>ing</w:t>
      </w:r>
      <w:r>
        <w:rPr>
          <w:szCs w:val="22"/>
        </w:rPr>
        <w:t xml:space="preserve"> from </w:t>
      </w:r>
      <w:r w:rsidR="009C4358">
        <w:rPr>
          <w:szCs w:val="22"/>
        </w:rPr>
        <w:t xml:space="preserve">the scheduling granularity and lower latency offered by </w:t>
      </w:r>
      <w:r>
        <w:rPr>
          <w:szCs w:val="22"/>
        </w:rPr>
        <w:t xml:space="preserve">shorter slot durations. </w:t>
      </w:r>
    </w:p>
    <w:p w14:paraId="4910E374" w14:textId="68698EF7" w:rsidR="00E769DB" w:rsidRDefault="00E769DB" w:rsidP="00E769DB">
      <w:pPr>
        <w:pStyle w:val="Heading1"/>
      </w:pPr>
      <w:r>
        <w:t xml:space="preserve">Use Cases </w:t>
      </w:r>
      <w:r w:rsidR="00B14F6F">
        <w:t>for Slot Aggregation</w:t>
      </w:r>
    </w:p>
    <w:p w14:paraId="186AE997" w14:textId="710FA7A1" w:rsidR="00E769DB" w:rsidRDefault="00B14F6F" w:rsidP="00B14F6F">
      <w:pPr>
        <w:rPr>
          <w:lang w:val="en-GB"/>
        </w:rPr>
      </w:pPr>
      <w:r>
        <w:rPr>
          <w:lang w:val="en-GB"/>
        </w:rPr>
        <w:t>There are several use cases which may necessitate the use of slot aggregation based on UE capability in terms of the processing timeline</w:t>
      </w:r>
      <w:r w:rsidR="008E30B5">
        <w:rPr>
          <w:lang w:val="en-GB"/>
        </w:rPr>
        <w:t>, mmW operation</w:t>
      </w:r>
      <w:r>
        <w:rPr>
          <w:lang w:val="en-GB"/>
        </w:rPr>
        <w:t>, larger gap requirements, etc</w:t>
      </w:r>
    </w:p>
    <w:p w14:paraId="5A876E0C" w14:textId="77777777" w:rsidR="00725EAA" w:rsidRDefault="00725EAA" w:rsidP="00725EAA">
      <w:pPr>
        <w:pStyle w:val="Heading2"/>
      </w:pPr>
      <w:r>
        <w:t>DL to UL Interference from Far Away Cells</w:t>
      </w:r>
    </w:p>
    <w:p w14:paraId="18959C80" w14:textId="7D53047C" w:rsidR="00725EAA" w:rsidRDefault="00725EAA" w:rsidP="00725EAA">
      <w:pPr>
        <w:rPr>
          <w:lang w:val="en-GB"/>
        </w:rPr>
      </w:pPr>
      <w:r>
        <w:rPr>
          <w:lang w:val="en-GB"/>
        </w:rPr>
        <w:t xml:space="preserve">In rural/suburban deployments where far away gNBs can have LOS-like conditions with propagation loss close to free space, DL to UL interference can be of concern. Antenna downtilting should help limit the reach of the gNB transmissions and limit the interference impact. However, in certain cases, the transmissions of a </w:t>
      </w:r>
      <w:r w:rsidR="00B024EE">
        <w:rPr>
          <w:lang w:val="en-GB"/>
        </w:rPr>
        <w:t>faraway</w:t>
      </w:r>
      <w:r>
        <w:rPr>
          <w:lang w:val="en-GB"/>
        </w:rPr>
        <w:t xml:space="preserve"> gNB can reach the gNB of interest with some propagation delay and can interfere with the UL reception from UEs served by this gNB, as seen in </w:t>
      </w:r>
      <w:r>
        <w:rPr>
          <w:lang w:val="en-GB"/>
        </w:rPr>
        <w:fldChar w:fldCharType="begin"/>
      </w:r>
      <w:r>
        <w:rPr>
          <w:lang w:val="en-GB"/>
        </w:rPr>
        <w:instrText xml:space="preserve"> REF _Ref473799702 \h </w:instrText>
      </w:r>
      <w:r>
        <w:rPr>
          <w:lang w:val="en-GB"/>
        </w:rPr>
      </w:r>
      <w:r>
        <w:rPr>
          <w:lang w:val="en-GB"/>
        </w:rPr>
        <w:fldChar w:fldCharType="separate"/>
      </w:r>
      <w:r w:rsidR="00623DB7">
        <w:t xml:space="preserve">Figure </w:t>
      </w:r>
      <w:r w:rsidR="00623DB7">
        <w:rPr>
          <w:noProof/>
        </w:rPr>
        <w:t>1</w:t>
      </w:r>
      <w:r>
        <w:rPr>
          <w:lang w:val="en-GB"/>
        </w:rPr>
        <w:fldChar w:fldCharType="end"/>
      </w:r>
      <w:r>
        <w:rPr>
          <w:lang w:val="en-GB"/>
        </w:rPr>
        <w:t xml:space="preserve">. For sufficient protection, the gap would need to be larger than the 1-way propagation delay between the gNBs. As an example, transmission from a 20 km away gNB would arrive with 67 us delay and can significantly interfere with the UL reception unless there is sufficient gap allocated. </w:t>
      </w:r>
    </w:p>
    <w:p w14:paraId="3EA1A1AF" w14:textId="77777777" w:rsidR="00725EAA" w:rsidRDefault="00725EAA" w:rsidP="00725EAA">
      <w:pPr>
        <w:rPr>
          <w:lang w:val="en-GB"/>
        </w:rPr>
      </w:pPr>
      <w:r w:rsidRPr="00A842AC">
        <w:object w:dxaOrig="6408" w:dyaOrig="4051" w14:anchorId="586DD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5pt;height:154.85pt" o:ole="">
            <v:imagedata r:id="rId12" o:title=""/>
          </v:shape>
          <o:OLEObject Type="Embed" ProgID="Visio.Drawing.11" ShapeID="_x0000_i1025" DrawAspect="Content" ObjectID="_1551899296" r:id="rId13"/>
        </w:object>
      </w:r>
      <w:r w:rsidRPr="00A842AC">
        <w:object w:dxaOrig="6408" w:dyaOrig="4051" w14:anchorId="0959F137">
          <v:shape id="_x0000_i1026" type="#_x0000_t75" style="width:248.6pt;height:157.6pt" o:ole="">
            <v:imagedata r:id="rId14" o:title=""/>
          </v:shape>
          <o:OLEObject Type="Embed" ProgID="Visio.Drawing.11" ShapeID="_x0000_i1026" DrawAspect="Content" ObjectID="_1551899297" r:id="rId15"/>
        </w:object>
      </w:r>
    </w:p>
    <w:p w14:paraId="59C47F7A" w14:textId="77777777" w:rsidR="00725EAA" w:rsidRDefault="00725EAA" w:rsidP="00725EAA">
      <w:pPr>
        <w:pStyle w:val="Caption"/>
        <w:jc w:val="center"/>
        <w:rPr>
          <w:lang w:val="en-GB"/>
        </w:rPr>
      </w:pPr>
      <w:bookmarkStart w:id="3" w:name="_Ref473799702"/>
      <w:r>
        <w:t xml:space="preserve">Figure </w:t>
      </w:r>
      <w:fldSimple w:instr=" SEQ Figure \* ARABIC ">
        <w:r w:rsidR="00623DB7">
          <w:rPr>
            <w:noProof/>
          </w:rPr>
          <w:t>1</w:t>
        </w:r>
      </w:fldSimple>
      <w:bookmarkEnd w:id="3"/>
      <w:r>
        <w:t xml:space="preserve"> DL to UL Interference Problem</w:t>
      </w:r>
    </w:p>
    <w:p w14:paraId="4F50F825" w14:textId="4F30CCF1" w:rsidR="00D96E50" w:rsidRPr="00D96E50" w:rsidRDefault="00D96E50" w:rsidP="00D96E50">
      <w:r w:rsidRPr="00D96E50">
        <w:lastRenderedPageBreak/>
        <w:t xml:space="preserve">Using </w:t>
      </w:r>
      <w:r>
        <w:t xml:space="preserve">multiple symbol gaps in every 0.5 ms slot would lead to large overhead and inefficiency. In these cases, slot aggregation can be used to </w:t>
      </w:r>
      <w:r w:rsidR="00623DB7">
        <w:t>reduce the occurrence of gaps.</w:t>
      </w:r>
    </w:p>
    <w:p w14:paraId="58BD7A5A" w14:textId="75893C31" w:rsidR="00623DB7" w:rsidRDefault="00623DB7" w:rsidP="00623DB7">
      <w:r w:rsidRPr="00623DB7">
        <w:rPr>
          <w:b/>
          <w:u w:val="single"/>
        </w:rPr>
        <w:t>Proposal 1</w:t>
      </w:r>
      <w:r w:rsidRPr="00C214F0">
        <w:rPr>
          <w:u w:val="single"/>
        </w:rPr>
        <w:t>:</w:t>
      </w:r>
      <w:r w:rsidRPr="00C214F0">
        <w:t xml:space="preserve"> </w:t>
      </w:r>
      <w:r>
        <w:t>In the case of deployments susceptible to DL to UL interference from far away LOS base stations, a</w:t>
      </w:r>
      <w:r w:rsidRPr="00C214F0">
        <w:t xml:space="preserve">ggregated slots </w:t>
      </w:r>
      <w:r>
        <w:t xml:space="preserve">can be used to minimize the overhead due to the large switching gap required. </w:t>
      </w:r>
    </w:p>
    <w:p w14:paraId="79B967AC" w14:textId="77777777" w:rsidR="00D96E50" w:rsidRDefault="00D96E50" w:rsidP="00D96E50">
      <w:pPr>
        <w:pStyle w:val="Heading2"/>
      </w:pPr>
      <w:r>
        <w:t>UE Processing Timeline</w:t>
      </w:r>
    </w:p>
    <w:p w14:paraId="58CB1A88" w14:textId="77777777" w:rsidR="00D96E50" w:rsidRDefault="00D96E50" w:rsidP="00D96E50">
      <w:pPr>
        <w:rPr>
          <w:lang w:val="en-GB"/>
        </w:rPr>
      </w:pPr>
      <w:r>
        <w:rPr>
          <w:lang w:val="en-GB"/>
        </w:rPr>
        <w:t xml:space="preserve">Some UEs may require more time to decode a DL packet and send the corresponding ACK/NACK. The decoding time needed may be a function of the MCS being scheduled. It may also depend on the UE’s mobility since high Doppler UEs may require non-causal DMRS processing for channel estimation, which in turn may extend the decoding timeline. This would incur more overhead due to the need for additional gap (or data padding). In case of mmW deployments, the shorter slot durations may also lead to large overhead due to the relative size of the gap required by UE processing compared to the overall slot duration.   </w:t>
      </w:r>
    </w:p>
    <w:p w14:paraId="7D1F8AE4" w14:textId="7785C5AB" w:rsidR="00623DB7" w:rsidRDefault="00623DB7" w:rsidP="00623DB7">
      <w:r w:rsidRPr="00623DB7">
        <w:rPr>
          <w:b/>
          <w:u w:val="single"/>
        </w:rPr>
        <w:t>Proposal 2</w:t>
      </w:r>
      <w:r w:rsidRPr="00C214F0">
        <w:rPr>
          <w:u w:val="single"/>
        </w:rPr>
        <w:t>:</w:t>
      </w:r>
      <w:r>
        <w:t xml:space="preserve"> Aggregated slots can be considered to minimize overhead when UE processing timeline requires large gap from the end of the DL transmission to the ACK response. Different variations of the aggregated slot can be considered to maintain the scheduling granularity and latency benefits of shorter slots.</w:t>
      </w:r>
    </w:p>
    <w:p w14:paraId="637E1F36" w14:textId="77777777" w:rsidR="00725EAA" w:rsidRPr="008555A5" w:rsidRDefault="00725EAA" w:rsidP="008E30B5">
      <w:pPr>
        <w:rPr>
          <w:lang w:val="en-GB"/>
        </w:rPr>
      </w:pPr>
    </w:p>
    <w:p w14:paraId="66B4B6CF" w14:textId="455D08BA" w:rsidR="00725EAA" w:rsidRDefault="00725EAA" w:rsidP="00D96E50">
      <w:pPr>
        <w:pStyle w:val="Heading1"/>
      </w:pPr>
      <w:r>
        <w:t>Slot Aggregation Options</w:t>
      </w:r>
    </w:p>
    <w:p w14:paraId="4C0D677D" w14:textId="5A18C75B" w:rsidR="00D96E50" w:rsidRDefault="00725EAA" w:rsidP="00B14F6F">
      <w:pPr>
        <w:rPr>
          <w:lang w:val="en-GB"/>
        </w:rPr>
      </w:pPr>
      <w:r>
        <w:rPr>
          <w:lang w:val="en-GB"/>
        </w:rPr>
        <w:t>In order to minimize the</w:t>
      </w:r>
      <w:r w:rsidR="003C0E25">
        <w:rPr>
          <w:lang w:val="en-GB"/>
        </w:rPr>
        <w:t xml:space="preserve"> overhead</w:t>
      </w:r>
      <w:r>
        <w:rPr>
          <w:lang w:val="en-GB"/>
        </w:rPr>
        <w:t xml:space="preserve"> due to large gap requirement, DL and UL-centric slots can be aggregated. </w:t>
      </w:r>
      <w:r w:rsidR="00623DB7">
        <w:rPr>
          <w:lang w:val="en-GB"/>
        </w:rPr>
        <w:t xml:space="preserve">Within an aggregated slot, </w:t>
      </w:r>
      <w:r>
        <w:rPr>
          <w:lang w:val="en-GB"/>
        </w:rPr>
        <w:t xml:space="preserve">there is only a single DL to UL transition with an extended gap and </w:t>
      </w:r>
      <w:r w:rsidR="003C0E25">
        <w:rPr>
          <w:lang w:val="en-GB"/>
        </w:rPr>
        <w:t>ULCB is sent only once at the end of the aggregated slots</w:t>
      </w:r>
      <w:r w:rsidR="00D96E50">
        <w:rPr>
          <w:lang w:val="en-GB"/>
        </w:rPr>
        <w:t>.</w:t>
      </w:r>
      <w:r w:rsidR="00A842AC">
        <w:rPr>
          <w:lang w:val="en-GB"/>
        </w:rPr>
        <w:t xml:space="preserve"> </w:t>
      </w:r>
    </w:p>
    <w:p w14:paraId="0036AB9F" w14:textId="1B2DB937" w:rsidR="00B14F6F" w:rsidRDefault="00D96E50" w:rsidP="00B14F6F">
      <w:pPr>
        <w:rPr>
          <w:lang w:val="en-GB"/>
        </w:rPr>
      </w:pPr>
      <w:r>
        <w:rPr>
          <w:lang w:val="en-GB"/>
        </w:rPr>
        <w:t xml:space="preserve">For DL-centric slot aggregation, </w:t>
      </w:r>
      <w:r w:rsidR="003D6728">
        <w:rPr>
          <w:lang w:val="en-GB"/>
        </w:rPr>
        <w:t xml:space="preserve">DL control can be sent </w:t>
      </w:r>
      <w:r w:rsidR="00725EAA">
        <w:rPr>
          <w:lang w:val="en-GB"/>
        </w:rPr>
        <w:t>in each of the slots of the aggregated slot to maintain scheduling granularity. To minimize the control overhead</w:t>
      </w:r>
      <w:r w:rsidR="00623DB7">
        <w:rPr>
          <w:lang w:val="en-GB"/>
        </w:rPr>
        <w:t xml:space="preserve"> as well</w:t>
      </w:r>
      <w:r w:rsidR="00725EAA">
        <w:rPr>
          <w:lang w:val="en-GB"/>
        </w:rPr>
        <w:t>, an alternative approach could be to send a single control bock at the beginning of the aggregated slot.</w:t>
      </w:r>
      <w:r w:rsidR="00E5268F">
        <w:rPr>
          <w:lang w:val="en-GB"/>
        </w:rPr>
        <w:t xml:space="preserve"> (</w:t>
      </w:r>
      <w:r w:rsidR="00E5268F">
        <w:rPr>
          <w:lang w:val="en-GB"/>
        </w:rPr>
        <w:fldChar w:fldCharType="begin"/>
      </w:r>
      <w:r w:rsidR="00E5268F">
        <w:rPr>
          <w:lang w:val="en-GB"/>
        </w:rPr>
        <w:instrText xml:space="preserve"> REF _Ref473799658 \h </w:instrText>
      </w:r>
      <w:r w:rsidR="00E5268F">
        <w:rPr>
          <w:lang w:val="en-GB"/>
        </w:rPr>
      </w:r>
      <w:r w:rsidR="00E5268F">
        <w:rPr>
          <w:lang w:val="en-GB"/>
        </w:rPr>
        <w:fldChar w:fldCharType="separate"/>
      </w:r>
      <w:r w:rsidR="00623DB7">
        <w:t xml:space="preserve">Figure </w:t>
      </w:r>
      <w:r w:rsidR="00623DB7">
        <w:rPr>
          <w:noProof/>
        </w:rPr>
        <w:t>2</w:t>
      </w:r>
      <w:r w:rsidR="00E5268F">
        <w:rPr>
          <w:lang w:val="en-GB"/>
        </w:rPr>
        <w:fldChar w:fldCharType="end"/>
      </w:r>
      <w:r w:rsidR="00E5268F">
        <w:rPr>
          <w:lang w:val="en-GB"/>
        </w:rPr>
        <w:t>)</w:t>
      </w:r>
      <w:r w:rsidR="003D6728">
        <w:rPr>
          <w:lang w:val="en-GB"/>
        </w:rPr>
        <w:t xml:space="preserve">. </w:t>
      </w:r>
      <w:r w:rsidR="00A842AC">
        <w:rPr>
          <w:lang w:val="en-GB"/>
        </w:rPr>
        <w:t xml:space="preserve">In addition, </w:t>
      </w:r>
      <w:r w:rsidR="009C4358">
        <w:rPr>
          <w:lang w:val="en-GB"/>
        </w:rPr>
        <w:t xml:space="preserve">DL transmissions can be suspended for </w:t>
      </w:r>
      <w:r w:rsidR="00A842AC">
        <w:rPr>
          <w:lang w:val="en-GB"/>
        </w:rPr>
        <w:t xml:space="preserve">the duration corresponding to the ULCB transmission of other </w:t>
      </w:r>
      <w:r w:rsidR="009C4358">
        <w:rPr>
          <w:lang w:val="en-GB"/>
        </w:rPr>
        <w:t>nearby</w:t>
      </w:r>
      <w:r w:rsidR="00A842AC">
        <w:rPr>
          <w:lang w:val="en-GB"/>
        </w:rPr>
        <w:t xml:space="preserve"> cells not using slot aggregation in order to prevent interference</w:t>
      </w:r>
      <w:r w:rsidR="000E363B">
        <w:rPr>
          <w:lang w:val="en-GB"/>
        </w:rPr>
        <w:t xml:space="preserve"> </w:t>
      </w:r>
      <w:r w:rsidR="009C4358">
        <w:rPr>
          <w:lang w:val="en-GB"/>
        </w:rPr>
        <w:t>DL to UL interference</w:t>
      </w:r>
      <w:r w:rsidR="00A842AC">
        <w:rPr>
          <w:lang w:val="en-GB"/>
        </w:rPr>
        <w:t xml:space="preserve">. </w:t>
      </w:r>
      <w:r w:rsidR="003C0E25">
        <w:rPr>
          <w:lang w:val="en-GB"/>
        </w:rPr>
        <w:t xml:space="preserve"> </w:t>
      </w:r>
    </w:p>
    <w:p w14:paraId="4CAE8AB9" w14:textId="69A30F64" w:rsidR="003C0E25" w:rsidRDefault="00125D53" w:rsidP="00A842AC">
      <w:pPr>
        <w:jc w:val="center"/>
        <w:rPr>
          <w:lang w:val="en-GB"/>
        </w:rPr>
      </w:pPr>
      <w:r>
        <w:rPr>
          <w:lang w:val="en-GB"/>
        </w:rPr>
        <w:object w:dxaOrig="8734" w:dyaOrig="2582" w14:anchorId="5F0CB27F">
          <v:shape id="_x0000_i1027" type="#_x0000_t75" style="width:437.45pt;height:129.75pt" o:ole="">
            <v:imagedata r:id="rId16" o:title=""/>
          </v:shape>
          <o:OLEObject Type="Embed" ProgID="Visio.Drawing.11" ShapeID="_x0000_i1027" DrawAspect="Content" ObjectID="_1551899298" r:id="rId17"/>
        </w:object>
      </w:r>
    </w:p>
    <w:p w14:paraId="543B2E13" w14:textId="6C594ECF" w:rsidR="000E363B" w:rsidRDefault="000E363B" w:rsidP="000E363B">
      <w:pPr>
        <w:pStyle w:val="Caption"/>
        <w:jc w:val="center"/>
      </w:pPr>
      <w:bookmarkStart w:id="4" w:name="_Ref473799658"/>
      <w:r>
        <w:t xml:space="preserve">Figure </w:t>
      </w:r>
      <w:r w:rsidR="00C81A41">
        <w:fldChar w:fldCharType="begin"/>
      </w:r>
      <w:r w:rsidR="00C81A41">
        <w:instrText xml:space="preserve"> SEQ Figure \* ARABIC </w:instrText>
      </w:r>
      <w:r w:rsidR="00C81A41">
        <w:fldChar w:fldCharType="separate"/>
      </w:r>
      <w:r w:rsidR="00623DB7">
        <w:rPr>
          <w:noProof/>
        </w:rPr>
        <w:t>2</w:t>
      </w:r>
      <w:r w:rsidR="00C81A41">
        <w:rPr>
          <w:noProof/>
        </w:rPr>
        <w:fldChar w:fldCharType="end"/>
      </w:r>
      <w:bookmarkEnd w:id="4"/>
      <w:r>
        <w:t xml:space="preserve"> Aggregated </w:t>
      </w:r>
      <w:r w:rsidR="006A36C3">
        <w:t xml:space="preserve">DL-centric </w:t>
      </w:r>
      <w:r>
        <w:t>Slot</w:t>
      </w:r>
    </w:p>
    <w:p w14:paraId="7835B57B" w14:textId="442734D8" w:rsidR="00C214F0" w:rsidRDefault="00C214F0" w:rsidP="00C214F0">
      <w:pPr>
        <w:rPr>
          <w:u w:val="single"/>
        </w:rPr>
      </w:pPr>
    </w:p>
    <w:p w14:paraId="02AD47E5" w14:textId="148396C6" w:rsidR="00623DB7" w:rsidRDefault="00623DB7" w:rsidP="00623DB7">
      <w:r>
        <w:t xml:space="preserve">In </w:t>
      </w:r>
      <w:r>
        <w:fldChar w:fldCharType="begin"/>
      </w:r>
      <w:r>
        <w:instrText xml:space="preserve"> REF _Ref473803739 \h </w:instrText>
      </w:r>
      <w:r>
        <w:fldChar w:fldCharType="separate"/>
      </w:r>
      <w:r>
        <w:t xml:space="preserve">Figure </w:t>
      </w:r>
      <w:r>
        <w:rPr>
          <w:noProof/>
        </w:rPr>
        <w:t>3</w:t>
      </w:r>
      <w:r>
        <w:fldChar w:fldCharType="end"/>
      </w:r>
      <w:r>
        <w:t xml:space="preserve">, aggregated UL-centric slot structure is provided, which starts with DL control block followed by an extended gap and UL transmissions. The ULCB in the middle can be omitted if UL control overhead is of concern. If desired, UL transmissions overlapping with DL control transmissions of nearby cell that are not using aggregated slots can be suspended in order to prevent UL to DL interference to those cells. This way, cells that are not being impacted by these far away interferers can still experience the latency benefits of a single slot structure with a shorter gap. </w:t>
      </w:r>
    </w:p>
    <w:p w14:paraId="1F3F0854" w14:textId="77777777" w:rsidR="00623DB7" w:rsidRDefault="00623DB7" w:rsidP="00623DB7">
      <w:pPr>
        <w:jc w:val="center"/>
        <w:rPr>
          <w:lang w:val="en-GB"/>
        </w:rPr>
      </w:pPr>
      <w:r>
        <w:rPr>
          <w:lang w:val="en-GB"/>
        </w:rPr>
        <w:object w:dxaOrig="6678" w:dyaOrig="3513" w14:anchorId="34C5B1B4">
          <v:shape id="_x0000_i1028" type="#_x0000_t75" style="width:333.5pt;height:175.25pt" o:ole="">
            <v:imagedata r:id="rId18" o:title=""/>
          </v:shape>
          <o:OLEObject Type="Embed" ProgID="Visio.Drawing.11" ShapeID="_x0000_i1028" DrawAspect="Content" ObjectID="_1551899299" r:id="rId19"/>
        </w:object>
      </w:r>
    </w:p>
    <w:p w14:paraId="502F525C" w14:textId="77777777" w:rsidR="00623DB7" w:rsidRDefault="00623DB7" w:rsidP="00623DB7">
      <w:pPr>
        <w:pStyle w:val="Caption"/>
        <w:jc w:val="center"/>
      </w:pPr>
      <w:bookmarkStart w:id="5" w:name="_Ref473803739"/>
      <w:r>
        <w:t xml:space="preserve">Figure </w:t>
      </w:r>
      <w:fldSimple w:instr=" SEQ Figure \* ARABIC ">
        <w:r>
          <w:rPr>
            <w:noProof/>
          </w:rPr>
          <w:t>3</w:t>
        </w:r>
      </w:fldSimple>
      <w:bookmarkEnd w:id="5"/>
      <w:r>
        <w:t xml:space="preserve"> Aggregated UL-centric Slot</w:t>
      </w:r>
    </w:p>
    <w:p w14:paraId="678C5A5B" w14:textId="173BDCF5" w:rsidR="00725EAA" w:rsidRDefault="00725EAA" w:rsidP="00C214F0">
      <w:r>
        <w:t xml:space="preserve">In order to maintain the flexibility of scheduling both UL and DL packets within </w:t>
      </w:r>
      <w:r w:rsidR="00623DB7">
        <w:t xml:space="preserve">a </w:t>
      </w:r>
      <w:r>
        <w:t xml:space="preserve">1 ms time interval, one can also consider aggregating a DL and an UL-centric subframe with a single extended gap in the middle. </w:t>
      </w:r>
    </w:p>
    <w:p w14:paraId="138AFD08" w14:textId="154E87A4" w:rsidR="00725EAA" w:rsidRDefault="00725EAA" w:rsidP="00725EAA">
      <w:pPr>
        <w:jc w:val="center"/>
        <w:rPr>
          <w:lang w:val="en-GB"/>
        </w:rPr>
      </w:pPr>
      <w:r>
        <w:rPr>
          <w:lang w:val="en-GB"/>
        </w:rPr>
        <w:object w:dxaOrig="6678" w:dyaOrig="1426" w14:anchorId="24A97DDF">
          <v:shape id="_x0000_i1029" type="#_x0000_t75" style="width:333.5pt;height:71.3pt" o:ole="">
            <v:imagedata r:id="rId20" o:title=""/>
          </v:shape>
          <o:OLEObject Type="Embed" ProgID="Visio.Drawing.11" ShapeID="_x0000_i1029" DrawAspect="Content" ObjectID="_1551899300" r:id="rId21"/>
        </w:object>
      </w:r>
    </w:p>
    <w:p w14:paraId="2AB876BC" w14:textId="01AFCC76" w:rsidR="00725EAA" w:rsidRDefault="00725EAA" w:rsidP="00725EAA">
      <w:pPr>
        <w:pStyle w:val="Caption"/>
        <w:jc w:val="center"/>
      </w:pPr>
      <w:r>
        <w:t xml:space="preserve">Figure </w:t>
      </w:r>
      <w:fldSimple w:instr=" SEQ Figure \* ARABIC ">
        <w:r w:rsidR="00623DB7">
          <w:rPr>
            <w:noProof/>
          </w:rPr>
          <w:t>4</w:t>
        </w:r>
      </w:fldSimple>
      <w:r>
        <w:t xml:space="preserve"> Aggregated DL-centric and UL-centric Slot</w:t>
      </w:r>
    </w:p>
    <w:p w14:paraId="21CFC54F" w14:textId="6E98713A" w:rsidR="00FB4AAE" w:rsidRDefault="00FB4AAE" w:rsidP="00FB4AAE">
      <w:pPr>
        <w:rPr>
          <w:lang w:val="en-GB"/>
        </w:rPr>
      </w:pPr>
    </w:p>
    <w:p w14:paraId="6A620C5A" w14:textId="4D5F605F" w:rsidR="00485873" w:rsidRPr="008E30B5" w:rsidRDefault="00E769DB" w:rsidP="00F22300">
      <w:pPr>
        <w:pStyle w:val="Heading1"/>
        <w:rPr>
          <w:lang w:eastAsia="zh-CN"/>
        </w:rPr>
      </w:pPr>
      <w:r>
        <w:rPr>
          <w:lang w:eastAsia="zh-CN"/>
        </w:rPr>
        <w:t>Conclusions</w:t>
      </w:r>
    </w:p>
    <w:p w14:paraId="0CE036DF" w14:textId="42C9873C" w:rsidR="00623DB7" w:rsidRDefault="00623DB7" w:rsidP="00623DB7">
      <w:r>
        <w:rPr>
          <w:b/>
          <w:u w:val="single"/>
        </w:rPr>
        <w:t>Proposal 1</w:t>
      </w:r>
      <w:r w:rsidRPr="00485873">
        <w:rPr>
          <w:b/>
          <w:u w:val="single"/>
        </w:rPr>
        <w:t>:</w:t>
      </w:r>
      <w:r w:rsidRPr="00485873">
        <w:rPr>
          <w:b/>
        </w:rPr>
        <w:t xml:space="preserve"> </w:t>
      </w:r>
      <w:r>
        <w:t>In the case of deployments susceptible to DL to UL interference from far away LOS base stations, a</w:t>
      </w:r>
      <w:r w:rsidRPr="00C214F0">
        <w:t xml:space="preserve">ggregated slots </w:t>
      </w:r>
      <w:r>
        <w:t xml:space="preserve">can be used to minimize the overhead due to the large switching gap required. </w:t>
      </w:r>
    </w:p>
    <w:p w14:paraId="5E4D51D1" w14:textId="77777777" w:rsidR="00623DB7" w:rsidRDefault="00623DB7" w:rsidP="00623DB7">
      <w:r w:rsidRPr="00623DB7">
        <w:rPr>
          <w:b/>
          <w:u w:val="single"/>
        </w:rPr>
        <w:t>Proposal 2</w:t>
      </w:r>
      <w:r w:rsidRPr="00C214F0">
        <w:rPr>
          <w:u w:val="single"/>
        </w:rPr>
        <w:t>:</w:t>
      </w:r>
      <w:r>
        <w:t xml:space="preserve"> Aggregated slots can be considered to minimize overhead when UE processing timeline requires large gap from the end of the DL transmission to the ACK response. Different variations of the aggregated slot can be considered to maintain the scheduling granularity and latency benefits of shorter slots.</w:t>
      </w:r>
    </w:p>
    <w:p w14:paraId="446C4E8C" w14:textId="77777777" w:rsidR="00E769DB" w:rsidRPr="000A64D8" w:rsidRDefault="00E769DB" w:rsidP="00E769DB">
      <w:pPr>
        <w:pStyle w:val="Heading1"/>
        <w:rPr>
          <w:lang w:val="en-US"/>
        </w:rPr>
      </w:pPr>
      <w:r w:rsidRPr="000A64D8">
        <w:rPr>
          <w:lang w:val="en-US"/>
        </w:rPr>
        <w:t>References</w:t>
      </w:r>
    </w:p>
    <w:p w14:paraId="0A0E1C77" w14:textId="77777777" w:rsidR="00E769DB" w:rsidRDefault="00E769DB" w:rsidP="00E769DB">
      <w:pPr>
        <w:numPr>
          <w:ilvl w:val="0"/>
          <w:numId w:val="2"/>
        </w:numPr>
        <w:spacing w:before="100" w:beforeAutospacing="1" w:after="100" w:afterAutospacing="1"/>
        <w:rPr>
          <w:szCs w:val="22"/>
        </w:rPr>
      </w:pPr>
      <w:bookmarkStart w:id="6" w:name="_Ref474158248"/>
      <w:r>
        <w:rPr>
          <w:szCs w:val="22"/>
        </w:rPr>
        <w:t>RAN1 #86bis Chairman’s Notes</w:t>
      </w:r>
      <w:bookmarkEnd w:id="6"/>
      <w:r w:rsidRPr="003D5B67" w:rsidDel="00F80654">
        <w:rPr>
          <w:szCs w:val="22"/>
        </w:rPr>
        <w:t xml:space="preserve"> </w:t>
      </w:r>
    </w:p>
    <w:p w14:paraId="3CB56292" w14:textId="265E2609" w:rsidR="00E769DB" w:rsidRPr="008149C9" w:rsidRDefault="00E769DB" w:rsidP="008E30B5">
      <w:pPr>
        <w:spacing w:before="100" w:beforeAutospacing="1" w:after="100" w:afterAutospacing="1"/>
        <w:rPr>
          <w:szCs w:val="22"/>
        </w:rPr>
      </w:pPr>
    </w:p>
    <w:p w14:paraId="159357BA" w14:textId="77777777" w:rsidR="00E769DB" w:rsidRPr="00DF5588" w:rsidRDefault="00E769DB" w:rsidP="00E769DB">
      <w:pPr>
        <w:rPr>
          <w:szCs w:val="22"/>
        </w:rPr>
      </w:pPr>
    </w:p>
    <w:p w14:paraId="3935C235" w14:textId="0C1B4E99" w:rsidR="003E13D0" w:rsidRPr="00DF5588" w:rsidRDefault="003E13D0" w:rsidP="008149C9">
      <w:pPr>
        <w:rPr>
          <w:szCs w:val="22"/>
        </w:rPr>
      </w:pPr>
    </w:p>
    <w:sectPr w:rsidR="003E13D0" w:rsidRPr="00DF5588"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BD1C5" w14:textId="77777777" w:rsidR="00CB5A19" w:rsidRDefault="00CB5A19">
      <w:r>
        <w:separator/>
      </w:r>
    </w:p>
  </w:endnote>
  <w:endnote w:type="continuationSeparator" w:id="0">
    <w:p w14:paraId="6E277DB4" w14:textId="77777777" w:rsidR="00CB5A19" w:rsidRDefault="00CB5A19">
      <w:r>
        <w:continuationSeparator/>
      </w:r>
    </w:p>
  </w:endnote>
  <w:endnote w:type="continuationNotice" w:id="1">
    <w:p w14:paraId="4DBB609F" w14:textId="77777777" w:rsidR="00CB5A19" w:rsidRDefault="00CB5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81A4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1A4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DA254" w14:textId="77777777" w:rsidR="00CB5A19" w:rsidRDefault="00CB5A19">
      <w:r>
        <w:separator/>
      </w:r>
    </w:p>
  </w:footnote>
  <w:footnote w:type="continuationSeparator" w:id="0">
    <w:p w14:paraId="1A05AA98" w14:textId="77777777" w:rsidR="00CB5A19" w:rsidRDefault="00CB5A19">
      <w:r>
        <w:continuationSeparator/>
      </w:r>
    </w:p>
  </w:footnote>
  <w:footnote w:type="continuationNotice" w:id="1">
    <w:p w14:paraId="2E7A2612" w14:textId="77777777" w:rsidR="00CB5A19" w:rsidRDefault="00CB5A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51CBF"/>
    <w:multiLevelType w:val="hybridMultilevel"/>
    <w:tmpl w:val="56BE3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61042"/>
    <w:multiLevelType w:val="hybridMultilevel"/>
    <w:tmpl w:val="859A0634"/>
    <w:lvl w:ilvl="0" w:tplc="735E6A6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5"/>
  </w:num>
  <w:num w:numId="4">
    <w:abstractNumId w:val="16"/>
  </w:num>
  <w:num w:numId="5">
    <w:abstractNumId w:val="6"/>
  </w:num>
  <w:num w:numId="6">
    <w:abstractNumId w:val="8"/>
  </w:num>
  <w:num w:numId="7">
    <w:abstractNumId w:val="9"/>
  </w:num>
  <w:num w:numId="8">
    <w:abstractNumId w:val="2"/>
  </w:num>
  <w:num w:numId="9">
    <w:abstractNumId w:val="29"/>
    <w:lvlOverride w:ilvl="0">
      <w:startOverride w:val="1"/>
    </w:lvlOverride>
  </w:num>
  <w:num w:numId="10">
    <w:abstractNumId w:val="19"/>
  </w:num>
  <w:num w:numId="11">
    <w:abstractNumId w:val="24"/>
  </w:num>
  <w:num w:numId="12">
    <w:abstractNumId w:val="26"/>
  </w:num>
  <w:num w:numId="13">
    <w:abstractNumId w:val="17"/>
  </w:num>
  <w:num w:numId="14">
    <w:abstractNumId w:val="21"/>
  </w:num>
  <w:num w:numId="15">
    <w:abstractNumId w:val="4"/>
  </w:num>
  <w:num w:numId="16">
    <w:abstractNumId w:val="27"/>
  </w:num>
  <w:num w:numId="17">
    <w:abstractNumId w:val="7"/>
  </w:num>
  <w:num w:numId="18">
    <w:abstractNumId w:val="25"/>
  </w:num>
  <w:num w:numId="19">
    <w:abstractNumId w:val="11"/>
  </w:num>
  <w:num w:numId="20">
    <w:abstractNumId w:val="28"/>
  </w:num>
  <w:num w:numId="21">
    <w:abstractNumId w:val="20"/>
  </w:num>
  <w:num w:numId="22">
    <w:abstractNumId w:val="3"/>
  </w:num>
  <w:num w:numId="23">
    <w:abstractNumId w:val="18"/>
  </w:num>
  <w:num w:numId="24">
    <w:abstractNumId w:val="22"/>
  </w:num>
  <w:num w:numId="25">
    <w:abstractNumId w:val="12"/>
  </w:num>
  <w:num w:numId="26">
    <w:abstractNumId w:val="15"/>
  </w:num>
  <w:num w:numId="27">
    <w:abstractNumId w:val="14"/>
  </w:num>
  <w:num w:numId="28">
    <w:abstractNumId w:val="23"/>
  </w:num>
  <w:num w:numId="29">
    <w:abstractNumId w:val="1"/>
  </w:num>
  <w:num w:numId="3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3B"/>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E73"/>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BD9"/>
    <w:rsid w:val="00124E10"/>
    <w:rsid w:val="00125078"/>
    <w:rsid w:val="0012523E"/>
    <w:rsid w:val="001252FE"/>
    <w:rsid w:val="001255A6"/>
    <w:rsid w:val="00125D34"/>
    <w:rsid w:val="00125D53"/>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83"/>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0E2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728"/>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4AB"/>
    <w:rsid w:val="00483D11"/>
    <w:rsid w:val="00483D20"/>
    <w:rsid w:val="0048406D"/>
    <w:rsid w:val="00484C46"/>
    <w:rsid w:val="00484DC1"/>
    <w:rsid w:val="0048542B"/>
    <w:rsid w:val="004856EF"/>
    <w:rsid w:val="00485873"/>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C3F"/>
    <w:rsid w:val="004B41B7"/>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8FF"/>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DD"/>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DB7"/>
    <w:rsid w:val="00623E4E"/>
    <w:rsid w:val="00624C2C"/>
    <w:rsid w:val="00624C6E"/>
    <w:rsid w:val="00624FB3"/>
    <w:rsid w:val="00625B24"/>
    <w:rsid w:val="0062657C"/>
    <w:rsid w:val="00626C25"/>
    <w:rsid w:val="00626E64"/>
    <w:rsid w:val="00627171"/>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6C3"/>
    <w:rsid w:val="006A3F94"/>
    <w:rsid w:val="006A40D0"/>
    <w:rsid w:val="006A4113"/>
    <w:rsid w:val="006A49B5"/>
    <w:rsid w:val="006A4FF3"/>
    <w:rsid w:val="006A5A45"/>
    <w:rsid w:val="006A5CA3"/>
    <w:rsid w:val="006A5D5C"/>
    <w:rsid w:val="006A5E26"/>
    <w:rsid w:val="006A6B3F"/>
    <w:rsid w:val="006A6B69"/>
    <w:rsid w:val="006A74C0"/>
    <w:rsid w:val="006A7574"/>
    <w:rsid w:val="006A77A7"/>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A0A"/>
    <w:rsid w:val="006F3B01"/>
    <w:rsid w:val="006F3C66"/>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EAA"/>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804"/>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BF"/>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5A5"/>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0B5"/>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87"/>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AB0"/>
    <w:rsid w:val="009C3D88"/>
    <w:rsid w:val="009C42A3"/>
    <w:rsid w:val="009C4358"/>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0D52"/>
    <w:rsid w:val="00A8135C"/>
    <w:rsid w:val="00A81633"/>
    <w:rsid w:val="00A81694"/>
    <w:rsid w:val="00A81A19"/>
    <w:rsid w:val="00A81D9B"/>
    <w:rsid w:val="00A8221B"/>
    <w:rsid w:val="00A82508"/>
    <w:rsid w:val="00A82C1E"/>
    <w:rsid w:val="00A831F0"/>
    <w:rsid w:val="00A83309"/>
    <w:rsid w:val="00A83BF1"/>
    <w:rsid w:val="00A83CA0"/>
    <w:rsid w:val="00A84298"/>
    <w:rsid w:val="00A842A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4F6F"/>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4F0"/>
    <w:rsid w:val="00C226CE"/>
    <w:rsid w:val="00C232DD"/>
    <w:rsid w:val="00C23452"/>
    <w:rsid w:val="00C23C9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98E"/>
    <w:rsid w:val="00C81A41"/>
    <w:rsid w:val="00C81B30"/>
    <w:rsid w:val="00C8220B"/>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595"/>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5A19"/>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251"/>
    <w:rsid w:val="00CD492B"/>
    <w:rsid w:val="00CD5ADA"/>
    <w:rsid w:val="00CD5C02"/>
    <w:rsid w:val="00CD5F80"/>
    <w:rsid w:val="00CD61E3"/>
    <w:rsid w:val="00CD6823"/>
    <w:rsid w:val="00CD6D63"/>
    <w:rsid w:val="00CD6E0B"/>
    <w:rsid w:val="00CD7378"/>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28B"/>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87"/>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6FD2"/>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6E50"/>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AA3"/>
    <w:rsid w:val="00DA7BC7"/>
    <w:rsid w:val="00DA7E4C"/>
    <w:rsid w:val="00DA7EC1"/>
    <w:rsid w:val="00DB0564"/>
    <w:rsid w:val="00DB0D5D"/>
    <w:rsid w:val="00DB1539"/>
    <w:rsid w:val="00DB16F8"/>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1E"/>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68F"/>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976"/>
    <w:rsid w:val="00EA4A36"/>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300"/>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9"/>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4AAE"/>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8302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HR33RHYHUWRF-4-2301</_dlc_DocId>
    <_dlc_DocIdUrl xmlns="c06861ca-3f08-4d07-bff7-bb15bac121f4">
      <Url>https://projects.qualcomm.com/sites/pentari/_layouts/15/DocIdRedir.aspx?ID=HR33RHYHUWRF-4-2301</Url>
      <Description>HR33RHYHUWRF-4-2301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3115A3E7-522D-414D-8231-7099F77A3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3</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Soriaga, Joseph</cp:lastModifiedBy>
  <cp:revision>24</cp:revision>
  <cp:lastPrinted>2014-11-07T05:38:00Z</cp:lastPrinted>
  <dcterms:created xsi:type="dcterms:W3CDTF">2017-01-10T04:30:00Z</dcterms:created>
  <dcterms:modified xsi:type="dcterms:W3CDTF">2017-03-25T05:21:00Z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12d75944-5090-4603-a6d8-a3f058f9f04d</vt:lpwstr>
  </property>
</Properties>
</file>